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225</w:t>
      </w:r>
    </w:p>
    <w:p>
      <w:r>
        <w:t>Bundesgericht (BGE), 1977-10-28, FR</w:t>
      </w:r>
    </w:p>
    <w:p>
      <w:r>
        <w:rPr>
          <w:b/>
        </w:rPr>
        <w:t xml:space="preserve">Quelle: </w:t>
      </w:r>
      <w:r>
        <w:t>https://mcp.opencaselaw.ch/entscheid/bge_103 II 225</w:t>
      </w:r>
    </w:p>
    <w:p>
      <w:r>
        <w:t>FR: ATF 103 II 225</w:t>
      </w:r>
    </w:p>
    <w:p>
      <w:r>
        <w:t>IT: DTF 103 II 225</w:t>
      </w:r>
    </w:p>
    <w:p>
      <w:pPr>
        <w:pStyle w:val="Heading2"/>
      </w:pPr>
      <w:r>
        <w:t>Regeste</w:t>
      </w:r>
    </w:p>
    <w:p>
      <w:r>
        <w:t>Regeste Art. 484 Abs. 2 ZGB. Verpflichtet der Erblasser seinen Erben, einer Person eine Wohnung gegen einen Mietzins zur Benützung zu überlassen, so liegt ein Vermächtnis, nicht eine Auflage, vor.</w:t>
      </w:r>
    </w:p>
    <w:p>
      <w:pPr>
        <w:pStyle w:val="Heading2"/>
      </w:pPr>
      <w:r>
        <w:t>Erwägungen</w:t>
      </w:r>
    </w:p>
    <w:p>
      <w:r>
        <w:rPr>
          <w:b/>
        </w:rPr>
        <w:t>E. 1</w:t>
      </w:r>
    </w:p>
    <w:p>
      <w:r>
        <w:t>En première instance, les parties ont considéré que le litige se rapportait à un problème de délivrance de legs. Le Tribunal les a suivies, appliquant les art. 485 et 562 CC . En appel, en revanche, dame Kaech a soutenu que, dans son codicille, Noverraz avait imposé une charge à son héritière, avec cet effet que la bénéficiaire ne pouvait prétendre qu'à l'exécution, à l'exclusion de toute prétention à des dommages-intérêts. La Cour de justice s'est rangée à cette argumentation en ce qui concerne la qualification de la disposition pour cause de mort, mais, adoptant l'opinion du professeur PIOTET (Droit successoral, Traité de droit privé suisse IV, p. 134 n. 1; cf. MERZ, RJB 1970, p. 50/51), elle a assimilé le refus d'exécuter la charge à un acte illicite et a alloué à dame Badertscher une indemnité en application des art. 41 ss CO . La recourante critique ce raisonnement. Comme en seconde instance, elle soutient, se référant à la jurisprudence ( ATF 94 II 91 /92, consid. 6), que, du moment que la charge ne donne pas naissance à une créance, son inexécution fautive n'entraîne aucun droit à des dommages-intérêts.</w:t>
      </w:r>
    </w:p>
    <w:p>
      <w:r>
        <w:rPr>
          <w:b/>
        </w:rPr>
        <w:t>E. 2</w:t>
      </w:r>
    </w:p>
    <w:p>
      <w:r>
        <w:t>La recourante part de l'idée qu'il y a charge. Encore faut-il savoir si c'est à juste titre que la Cour de justice a dénié la qualification de legs à la disposition en cause. Le legs se distingue avant tout de la charge en ce qu'il ne se borne pas à conférer aux intéressés un droit à l'exécution, mais crée une véritable créance en faveur des bénéficiaires. Si, fondé sur une disposition pour cause de mort, quelqu'un peut exiger une prestation dans son propre intérêt, on est, en règle générale, en présence, non pas d'une charge, mais bien d'un legs ( ATF 101 II 27 /28 consid. 1 et les références). BGE 103 II 225 S. 227 Selon la Cour de justice, dame Badertscher ne se voit attribuer aucun droit de créance contre dame Kaech, à l'égard de laquelle elle devient au contraire débitrice du montant du loyer. Certes, disent les juges d'appel, vu la modicité de ce loyer, l'intimée devait tirer un avantage patrimonial indirect, mais l'appartement en cause n'entrait pas dans son patrimoine et il n'y avait pas constitution d'un droit réel restreint, tel un droit d'habitation. C'est partir d'une conception trop étroite du legs. L' art. 484 al. 2 CC est très large: il prévoit que le disposant pourra "astreindre ses héritiers... à faire, sur la valeur des biens, des prestations en faveur d'une personne". Ainsi, n'importe quelle prestation susceptible d'être l'objet d'une obligation et destinée à procurer un avantage patrimonial peut être due par le débiteur du legs (ESCHER, n. 8 ad art. 484 CC ; TUOR, 2e éd., n. 13 ad art. 484 CC ; PIOTET, op.cit., pp. 114 et 118). Or la cession de l'usage d'une chose moyennant un loyer est une prestation de cette nature: c'est l'objet normal du bail à loyer ( art. 253 CO ; cf. REYMOND, Gebrauchsüberlassungsverträge, Schweizerisches Privatrecht VII/1, p. 213 ss). Contrairement à l'opinion de la Cour de justice, on est donc dans le cadre de l' art. 484 al. 2 CC : il y a eu legs, avec cette conséquence que l'intimée peut demander des dommages-intérêts aux conditions de l' art. 97 CO , manifestement réalisées en l'espèce. La demande doit dès lors être accueillie en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